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5B2107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TABLE OF CONTENT </w:t>
      </w:r>
    </w:p>
    <w:p w14:paraId="00000002" w14:textId="77777777" w:rsidR="005B2107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Secretary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-General</w:t>
      </w:r>
    </w:p>
    <w:p w14:paraId="00000003" w14:textId="77777777" w:rsidR="005B2107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Letter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President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Chair</w:t>
      </w:r>
    </w:p>
    <w:p w14:paraId="00000004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Committee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Agenda</w:t>
      </w:r>
      <w:proofErr w:type="spellEnd"/>
    </w:p>
    <w:p w14:paraId="00000005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Background Information </w:t>
      </w:r>
    </w:p>
    <w:p w14:paraId="00000006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Current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Efforts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07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Committee’s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Mandate</w:t>
      </w:r>
      <w:proofErr w:type="spellEnd"/>
    </w:p>
    <w:p w14:paraId="00000008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Background </w:t>
      </w:r>
    </w:p>
    <w:p w14:paraId="00000009" w14:textId="77777777" w:rsidR="005B2107" w:rsidRDefault="00000000">
      <w:pPr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Legal Framework</w:t>
      </w:r>
    </w:p>
    <w:p w14:paraId="0000000A" w14:textId="77777777" w:rsidR="005B2107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Practices</w:t>
      </w:r>
      <w:proofErr w:type="spellEnd"/>
    </w:p>
    <w:p w14:paraId="0000000B" w14:textId="77777777" w:rsidR="005B2107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Alternatives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Genetically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C" w14:textId="77777777" w:rsidR="005B2107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Sovereignty</w:t>
      </w:r>
      <w:proofErr w:type="spellEnd"/>
    </w:p>
    <w:p w14:paraId="0000000D" w14:textId="77777777" w:rsidR="005B2107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Agroecosystem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Resilience</w:t>
      </w:r>
      <w:proofErr w:type="spellEnd"/>
    </w:p>
    <w:p w14:paraId="0000000E" w14:textId="77777777" w:rsidR="005B2107" w:rsidRDefault="00000000">
      <w:pPr>
        <w:numPr>
          <w:ilvl w:val="0"/>
          <w:numId w:val="2"/>
        </w:numPr>
        <w:spacing w:before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Challenges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Barriers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0F" w14:textId="77777777" w:rsidR="005B2107" w:rsidRDefault="00000000">
      <w:pPr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Current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Technology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Trends</w:t>
      </w:r>
      <w:proofErr w:type="spellEnd"/>
    </w:p>
    <w:p w14:paraId="00000010" w14:textId="77777777" w:rsidR="005B2107" w:rsidRDefault="000000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Sensors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1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satellite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technologies</w:t>
      </w:r>
      <w:proofErr w:type="spellEnd"/>
    </w:p>
    <w:p w14:paraId="00000012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Robots</w:t>
      </w:r>
      <w:proofErr w:type="spellEnd"/>
    </w:p>
    <w:p w14:paraId="00000013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8.4. Smart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Automation</w:t>
      </w:r>
      <w:proofErr w:type="spellEnd"/>
    </w:p>
    <w:p w14:paraId="00000014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Detection</w:t>
      </w:r>
      <w:proofErr w:type="spellEnd"/>
    </w:p>
    <w:p w14:paraId="00000015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8.6. Smart Sensor Technologies</w:t>
      </w:r>
    </w:p>
    <w:p w14:paraId="00000016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Technologies</w:t>
      </w:r>
    </w:p>
    <w:p w14:paraId="00000017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Laser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Scarecrow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  <w:proofErr w:type="spellEnd"/>
    </w:p>
    <w:p w14:paraId="00000018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Applications</w:t>
      </w:r>
    </w:p>
    <w:p w14:paraId="00000019" w14:textId="77777777" w:rsidR="005B2107" w:rsidRDefault="00000000">
      <w:pPr>
        <w:shd w:val="clear" w:color="auto" w:fill="FFFFFF"/>
        <w:spacing w:before="240" w:after="24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Applications</w:t>
      </w:r>
    </w:p>
    <w:p w14:paraId="0000001A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Responsible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Investment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Agriculture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Systems</w:t>
      </w:r>
      <w:proofErr w:type="spellEnd"/>
    </w:p>
    <w:p w14:paraId="0000001B" w14:textId="77777777" w:rsidR="005B2107" w:rsidRDefault="00000000">
      <w:pPr>
        <w:numPr>
          <w:ilvl w:val="0"/>
          <w:numId w:val="2"/>
        </w:numPr>
        <w:spacing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Answered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1C" w14:textId="77777777" w:rsidR="005B2107" w:rsidRDefault="00000000">
      <w:pPr>
        <w:numPr>
          <w:ilvl w:val="0"/>
          <w:numId w:val="2"/>
        </w:num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References</w:t>
      </w:r>
      <w:proofErr w:type="spellEnd"/>
    </w:p>
    <w:p w14:paraId="0000001D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E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F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0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1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2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3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4" w14:textId="77777777" w:rsidR="005B2107" w:rsidRDefault="005B210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5" w14:textId="77777777" w:rsidR="005B2107" w:rsidRDefault="005B2107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3576A5F" w14:textId="77777777" w:rsidR="000D7842" w:rsidRDefault="000D7842" w:rsidP="000D78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Letter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-General</w:t>
      </w:r>
    </w:p>
    <w:p w14:paraId="3A0833A1" w14:textId="77777777" w:rsidR="000D7842" w:rsidRDefault="000D7842" w:rsidP="000D78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707087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distinguished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participants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dearest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guests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20705D0B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899C52F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delighted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welcome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HASMUN’24 Conference of Kadir </w:t>
      </w:r>
    </w:p>
    <w:p w14:paraId="2E2E6342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-General.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unique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A2A3E2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perspectives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contribute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success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61B21F03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75E4D4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diverse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committees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crafted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urgent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D856AE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forsolutions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broad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spectrum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specializations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we're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823DDC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impactful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discussions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15th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</w:p>
    <w:p w14:paraId="608BE315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Kadir Has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Model  United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Nations Club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celebration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938560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committees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</w:p>
    <w:p w14:paraId="4370B188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577969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• United Nations Office of Counter-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Terrorism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(UNOCT)  </w:t>
      </w:r>
    </w:p>
    <w:p w14:paraId="17D9842B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International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Atomic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(IAEA)  </w:t>
      </w:r>
    </w:p>
    <w:p w14:paraId="0EB022FE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(UNFPA)  </w:t>
      </w:r>
    </w:p>
    <w:p w14:paraId="163B14B0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Industrial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Development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(UNIDO)  </w:t>
      </w:r>
    </w:p>
    <w:p w14:paraId="73955011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United Nations Office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Outer Space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(UNOOSA)  </w:t>
      </w:r>
    </w:p>
    <w:p w14:paraId="422D9BDB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World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(WFP)  </w:t>
      </w:r>
    </w:p>
    <w:p w14:paraId="6AC0E7D0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International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(IMF)  </w:t>
      </w:r>
    </w:p>
    <w:p w14:paraId="058A0CCE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Historical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Crisis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(HCC) </w:t>
      </w:r>
    </w:p>
    <w:p w14:paraId="1C19E014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B61D4F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HASMUN'24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marvelous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efforts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serve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108F2277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participants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greatest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United Nations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Conferences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5E29DCA3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conclude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thanking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everyone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involved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0235E8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Academicand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greatest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Delegates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DAACD7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forward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valuable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contributions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3225B0B6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#welcomehome  </w:t>
      </w:r>
    </w:p>
    <w:p w14:paraId="6AF912A7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regards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</w:p>
    <w:p w14:paraId="704D7704" w14:textId="77777777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Aylin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Rassad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6DBD973" w14:textId="6F30520A" w:rsidR="000D7842" w:rsidRDefault="000D7842" w:rsidP="000D7842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-General HASMUN'2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0000026" w14:textId="77777777" w:rsidR="005B2107" w:rsidRDefault="005B2107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7" w14:textId="77777777" w:rsidR="005B2107" w:rsidRDefault="005B2107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28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9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A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B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C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D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E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2F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0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1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2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3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4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5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6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7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8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9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A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B" w14:textId="77777777" w:rsidR="005B2107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World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Program: 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Approaches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Hunger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Prevention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Exploring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Alternatives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Genetically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Modified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Foods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Promoting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Practices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Long-Term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Security."</w:t>
      </w:r>
    </w:p>
    <w:p w14:paraId="0000003C" w14:textId="77777777" w:rsidR="005B2107" w:rsidRDefault="005B210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3D" w14:textId="77777777" w:rsidR="005B2107" w:rsidRDefault="00000000">
      <w:pPr>
        <w:shd w:val="clear" w:color="auto" w:fill="FFFFFF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plenty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E" w14:textId="77777777" w:rsidR="005B2107" w:rsidRDefault="005B2107">
      <w:pPr>
        <w:shd w:val="clear" w:color="auto" w:fill="FFFFFF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5B2107" w:rsidRDefault="005B2107">
      <w:pPr>
        <w:shd w:val="clear" w:color="auto" w:fill="FFFFFF"/>
        <w:ind w:left="-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5B2107" w:rsidRDefault="00000000">
      <w:pPr>
        <w:shd w:val="clear" w:color="auto" w:fill="FFFFFF"/>
        <w:spacing w:after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1" w14:textId="77777777" w:rsidR="005B2107" w:rsidRDefault="00000000">
      <w:pPr>
        <w:numPr>
          <w:ilvl w:val="0"/>
          <w:numId w:val="1"/>
        </w:numPr>
        <w:shd w:val="clear" w:color="auto" w:fill="FFFFFF"/>
        <w:spacing w:after="16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42" w14:textId="77777777" w:rsidR="005B2107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(WFP),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United Nations (UN),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sustenance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encompasses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5B2107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food-secure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77777777" w:rsidR="005B2107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deliberations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interconnectedness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disparities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nourished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planet.</w:t>
      </w:r>
    </w:p>
    <w:p w14:paraId="00000045" w14:textId="77777777" w:rsidR="005B2107" w:rsidRDefault="005B210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Background Information </w:t>
      </w:r>
    </w:p>
    <w:p w14:paraId="00000047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(WFP)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pervasive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cornerstone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endeavors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beleaguered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grappling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Yemen, South Sudan,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refugees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tackling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meticulously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lactating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advocacy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campaigns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breastfeeding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endeavors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adverse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consequences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A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tandem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nutrition-focused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steadfast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adequate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pivotal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settings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C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grappling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Through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encompassing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livelihood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bolster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adversities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swift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aftermath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non-governmental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endeavors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livelihoods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multifaceted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interconnected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a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steadfast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forefront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alleviate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updates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eastAsia="Times New Roman" w:hAnsi="Times New Roman" w:cs="Times New Roman"/>
          <w:sz w:val="34"/>
          <w:szCs w:val="34"/>
        </w:rPr>
        <w:t>.</w:t>
      </w:r>
    </w:p>
    <w:p w14:paraId="00000050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0000051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Current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International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Efforts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52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(WFP)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alignment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2, “Zero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Since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concentrated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Strategic Plan (2017-2021)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roadmap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synchronize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life-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underscores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imperative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endeavors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aligning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patterns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53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Strategic Plan (2017-2021)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underscores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holistic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vouchers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exemplified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Accelerator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Germany,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14:paraId="00000054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Level Three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Level Three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Yemen,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South Sudan,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refugee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change-induced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downturns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employing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Logistics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Cluster.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shortfalls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Yemen.</w:t>
      </w:r>
    </w:p>
    <w:p w14:paraId="00000055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disparities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(2015-2020).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empowerment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in 2016,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decision-making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households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Board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deliberated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Plan (2017-2021)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Financial Framework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underscoring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7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58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Committee’s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Mandate</w:t>
      </w:r>
      <w:proofErr w:type="spellEnd"/>
    </w:p>
    <w:p w14:paraId="00000059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(WFP)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prominent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livelihoods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collaborating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pivotal role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conflict-affected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honored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Prize in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milestone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showcasing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aircraft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encompass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rehabilitation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conflict-affected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undernourishment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mothers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2022.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cash-based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expanding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rapidly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record-breaking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$14.1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dedicated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23,000,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closely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abundance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inequalities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confronting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A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(WFP) Strategic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2025  2022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-2025 is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renewed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WFP,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B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5C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eradicated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(SDG 2: Zero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5D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(SDG 17: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5E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interconnectedness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highlighting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F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downturns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sizeable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60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encompass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humanitarian-development-peace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61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2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3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livelihoods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4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SDG 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5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6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7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WFP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stakeholders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8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cross-cutting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partnerships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leveraging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plan. Country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contextualizing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WFP’s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field-level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9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6A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Scientific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Background </w:t>
      </w:r>
    </w:p>
    <w:p w14:paraId="0000006B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sequestration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cycling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C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surrounding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agroecosystem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deterioration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intensifies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exacerbates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D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pathway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6E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6F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Legal Framework</w:t>
      </w:r>
    </w:p>
    <w:p w14:paraId="00000070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pursuit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policymakers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safeguarding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71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3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Alternatives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Genetically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-GMO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varieties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GMO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4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Sovereignty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emphasizes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community-based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embraced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sovereignty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agroecology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5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Agroecosystem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incentivize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stewardship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7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78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Challenges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Barriers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79" w14:textId="77777777" w:rsidR="005B2107" w:rsidRDefault="00000000">
      <w:pPr>
        <w:spacing w:line="360" w:lineRule="auto"/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7F7F7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scarcity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transitioning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low-income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prohibitive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but they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A" w14:textId="77777777" w:rsidR="005B2107" w:rsidRDefault="005B2107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7B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Current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Technology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Trends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7C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livelihood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abnormal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D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emerges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upper-class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2007,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fluctuations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United Nations,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Third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7E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today's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two main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unemployment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pesticides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disrupt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7F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Academy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of 1999,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21st-century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crossbreeding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underlying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aforementioned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but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insecticides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vaccination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80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fundamental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life,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substitutes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conventional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discerned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spiral-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replacement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exponential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showcasing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workforce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United Nations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2050.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1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Smart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here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inexperienced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how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82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Sensors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Sensor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forecasts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3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satellite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satellite-assisted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wandering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quickly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4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Robots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quickly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packaging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robot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robot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constantly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5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archive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correctly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6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87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8.4. Smart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8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deficiencies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micro-nutrients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9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8.6. Smart Sensor Technologies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acoustic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satellite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A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intelligence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B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Laser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Scarecrow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scarecrow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disappear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90%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C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D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8.10.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vectoring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shrub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straightening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cultivation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E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First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momentum,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supply-demand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spiritual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returns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pockets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Earth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freshwater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moisture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technology-supported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advantages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harvesting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F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0" w14:textId="77777777" w:rsidR="005B2107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Responsible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Investment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Agriculture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Systems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91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indispensable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volatile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medium-scale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systematically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2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FAO,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intangible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14:paraId="00000093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endorsed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WFP, FAO, AND IFAD.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  </w:t>
      </w:r>
    </w:p>
    <w:p w14:paraId="00000094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welfare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sustainably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outputs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efficiency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minimize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threats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infrastructure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evidence-based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strengthened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smallholders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Enabling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5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OECD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OECD-FAO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narrow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aforementioned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96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-of-a-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government-backed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bribery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corruption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97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OECD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unraveled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approximately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one-third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global GHG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emissions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70%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freshwater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73%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tropical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deforestation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terrestrial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phosphorous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nitrogen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reforming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98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agreed-upon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freshwater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deforestation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pollution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accelerating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99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aforementioned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(OECD/FAO, 2016): </w:t>
      </w:r>
    </w:p>
    <w:p w14:paraId="0000009A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B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enhancing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availability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accessibility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nutritious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0000009C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protection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natural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resources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D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, in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as </w:t>
      </w:r>
      <w:proofErr w:type="spellStart"/>
      <w:r>
        <w:t>appropriate</w:t>
      </w:r>
      <w:proofErr w:type="spellEnd"/>
      <w:r>
        <w:t xml:space="preserve">, an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commensurate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. </w:t>
      </w:r>
    </w:p>
    <w:p w14:paraId="0000009E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: </w:t>
      </w:r>
    </w:p>
    <w:p w14:paraId="0000009F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preventing</w:t>
      </w:r>
      <w:proofErr w:type="spellEnd"/>
      <w:r>
        <w:t xml:space="preserve">, </w:t>
      </w:r>
      <w:proofErr w:type="spellStart"/>
      <w:r>
        <w:t>minimizing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remedying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on </w:t>
      </w:r>
      <w:proofErr w:type="spellStart"/>
      <w:r>
        <w:t>air</w:t>
      </w:r>
      <w:proofErr w:type="spellEnd"/>
      <w:r>
        <w:t xml:space="preserve">, </w:t>
      </w:r>
      <w:proofErr w:type="spellStart"/>
      <w:r>
        <w:t>land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forests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. </w:t>
      </w:r>
    </w:p>
    <w:p w14:paraId="000000A0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of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non-hazardous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, </w:t>
      </w:r>
      <w:proofErr w:type="spellStart"/>
      <w:r>
        <w:t>substituting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of </w:t>
      </w:r>
      <w:proofErr w:type="spellStart"/>
      <w:r>
        <w:t>waste</w:t>
      </w:r>
      <w:proofErr w:type="spellEnd"/>
      <w:r>
        <w:t xml:space="preserve">. </w:t>
      </w:r>
    </w:p>
    <w:p w14:paraId="000000A1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lastRenderedPageBreak/>
        <w:t xml:space="preserve">•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of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. </w:t>
      </w:r>
    </w:p>
    <w:p w14:paraId="000000A2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 </w:t>
      </w:r>
    </w:p>
    <w:p w14:paraId="000000A3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fertility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avoiding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erosion</w:t>
      </w:r>
      <w:proofErr w:type="spellEnd"/>
      <w:r>
        <w:t xml:space="preserve">  </w:t>
      </w:r>
    </w:p>
    <w:p w14:paraId="000000A4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conserving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,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;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controlling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spread of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non-native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</w:p>
    <w:p w14:paraId="000000A5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r>
        <w:t xml:space="preserve">•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of </w:t>
      </w:r>
      <w:proofErr w:type="spellStart"/>
      <w:r>
        <w:t>agriculture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livelihoods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adaptation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. </w:t>
      </w:r>
    </w:p>
    <w:p w14:paraId="000000A6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feasible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managers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enterprises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A7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500.000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small-scale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aforementioned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A8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fluctuations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(CAP) (KV, 2006).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(CAP),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1962.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pursued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protectionist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interventionist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embarked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reform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Mansholt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in 1968.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surplus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hectares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uncultivated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exceeding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expenditure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retirement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largely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shifted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experiencing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(DGD)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mid-1990s.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is not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coincidence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coincided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Uruguay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(WTO).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enacted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1996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precursor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DGD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incentives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stimulate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2004).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can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$80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2002).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backlash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Eraktan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2004).  ‘</w:t>
      </w:r>
    </w:p>
    <w:p w14:paraId="000000A9" w14:textId="77777777" w:rsidR="005B2107" w:rsidRDefault="005B2107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AA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Questions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Answered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00000AB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1.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the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main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challenges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in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implementing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sustainable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approaches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hunger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prevention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AC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2. How do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genetically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modified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foods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contribute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hunger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prevention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AD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3.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the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potential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long-term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health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effects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environmental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impacts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of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genetically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modified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foods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AE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4.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some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alternatives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genetically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modified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foods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hunger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prevention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AF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lastRenderedPageBreak/>
        <w:t xml:space="preserve">5. How do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organic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farming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traditional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agricultural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practices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compare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genetically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modified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crops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in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terms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of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efficiency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yield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B0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6.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the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key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factors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make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it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difficult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implement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agricultural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practices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long-term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food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security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B1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7. How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does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climate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change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impact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sustainable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agricultural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practices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B2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8.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role do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education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awareness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play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in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promoting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sustainable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farming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methods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among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farmers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B3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9.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What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are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the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financial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implications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low-income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farmers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transitioning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sustainable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practices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>?</w:t>
      </w:r>
    </w:p>
    <w:p w14:paraId="000000B4" w14:textId="77777777" w:rsidR="005B2107" w:rsidRDefault="00000000">
      <w:pPr>
        <w:shd w:val="clear" w:color="auto" w:fill="FFFFFF"/>
        <w:spacing w:before="180" w:line="360" w:lineRule="auto"/>
        <w:ind w:left="720"/>
        <w:rPr>
          <w:rFonts w:ascii="Roboto" w:eastAsia="Roboto" w:hAnsi="Roboto" w:cs="Roboto"/>
          <w:b/>
          <w:color w:val="111111"/>
          <w:sz w:val="24"/>
          <w:szCs w:val="24"/>
        </w:rPr>
      </w:pPr>
      <w:r>
        <w:rPr>
          <w:rFonts w:ascii="Roboto" w:eastAsia="Roboto" w:hAnsi="Roboto" w:cs="Roboto"/>
          <w:color w:val="111111"/>
          <w:sz w:val="24"/>
          <w:szCs w:val="24"/>
        </w:rPr>
        <w:t xml:space="preserve">10. How can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sustainable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approaches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hunger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prevention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contribute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to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long-term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food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security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and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environmental</w:t>
      </w:r>
      <w:proofErr w:type="spellEnd"/>
      <w:r>
        <w:rPr>
          <w:rFonts w:ascii="Roboto" w:eastAsia="Roboto" w:hAnsi="Roboto" w:cs="Roboto"/>
          <w:color w:val="111111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111111"/>
          <w:sz w:val="24"/>
          <w:szCs w:val="24"/>
        </w:rPr>
        <w:t>protection</w:t>
      </w:r>
      <w:proofErr w:type="spellEnd"/>
      <w:r>
        <w:rPr>
          <w:rFonts w:ascii="Roboto" w:eastAsia="Roboto" w:hAnsi="Roboto" w:cs="Roboto"/>
          <w:b/>
          <w:color w:val="111111"/>
          <w:sz w:val="24"/>
          <w:szCs w:val="24"/>
        </w:rPr>
        <w:t>?</w:t>
      </w:r>
    </w:p>
    <w:p w14:paraId="000000B5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B6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B7" w14:textId="77777777" w:rsidR="005B2107" w:rsidRDefault="00000000">
      <w:pPr>
        <w:numPr>
          <w:ilvl w:val="0"/>
          <w:numId w:val="1"/>
        </w:numPr>
        <w:spacing w:before="240" w:after="24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References</w:t>
      </w:r>
      <w:proofErr w:type="spellEnd"/>
    </w:p>
    <w:p w14:paraId="000000B8" w14:textId="77777777" w:rsidR="005B2107" w:rsidRDefault="00000000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Eraktan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Gülcan ve Canan Abay (2004) Türkiye’de Tarımın Teşvikinde Doğrudan Gelir Desteği Sitemi ve Sonuçları, 1. Baskı, İstanbul: İstanbul Ticaret Odası Yayınları.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9" w14:textId="77777777" w:rsidR="005B2107" w:rsidRDefault="00000000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Sabyasachi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(2002) US Farm Bill 2002: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Implications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Agricultural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Markets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hyperlink r:id="rId5">
        <w:r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</w:hyperlink>
    </w:p>
    <w:p w14:paraId="000000BA" w14:textId="77777777" w:rsidR="005B2107" w:rsidRDefault="00000000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Mustafa, A. C. A. R., &amp; Bulut, E. (2009). Türkiye’de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Ve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Dünyada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Tarimsal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Destekleme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Politikalarinda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Son Gelişmeler. Sosyal Ekonomik Araştırmalar Dergisi, 9(17), 1-19.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0000BB" w14:textId="77777777" w:rsidR="005B2107" w:rsidRDefault="00000000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İKV (2006) Avrupa Birliği Ortak Tarım Politikası Reformları, İKV Yayınları, No. 193.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C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https://link.springer.com/chapter/10.1007/978-3-030-59687-3_5</w:t>
        </w:r>
      </w:hyperlink>
    </w:p>
    <w:p w14:paraId="000000BD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https://www.frontiersin.org/research-topics/60516/towards-sustainable-development-goal-of-zero-hunger-exploring-the-dynamic-relationships-between-food-pricing-agriculture-and-food-security</w:t>
        </w:r>
      </w:hyperlink>
    </w:p>
    <w:p w14:paraId="000000BE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https://www.ssph-journal.org/journals/international-journal-of-public-health/articles/10.3389/ijph.2023.1605956/full</w:t>
        </w:r>
      </w:hyperlink>
    </w:p>
    <w:p w14:paraId="000000BF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https://link.springer.com/article/10.1007/s11356-022-23635-z</w:t>
        </w:r>
      </w:hyperlink>
    </w:p>
    <w:p w14:paraId="000000C0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https://www.fao.org/3/ca9476en/ca9476en.pdf</w:t>
        </w:r>
      </w:hyperlink>
    </w:p>
    <w:p w14:paraId="000000C1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https://creativecommons.org/licenses/by-nc-sa/3.0/igo/legalcode/legalcode%29</w:t>
        </w:r>
      </w:hyperlink>
    </w:p>
    <w:p w14:paraId="000000C2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https://www.frontiersin.org/research-topics/60516/towards-sustainable-development-goal-of-zero-hunger-exploring-the-dynamic-relationships-between-food-pricing-agriculture-and-food-security</w:t>
        </w:r>
      </w:hyperlink>
    </w:p>
    <w:p w14:paraId="000000C3" w14:textId="77777777" w:rsidR="005B2107" w:rsidRDefault="00000000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https://link.springer.com/article/10.1007/s41055-023-00126-6</w:t>
        </w:r>
      </w:hyperlink>
    </w:p>
    <w:p w14:paraId="000000C4" w14:textId="77777777" w:rsidR="005B2107" w:rsidRDefault="00000000">
      <w:pPr>
        <w:shd w:val="clear" w:color="auto" w:fill="FFFFFF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http://www.networkideas.org/themes/agriculture/may2002/ag17_US_Farm_Bill_2002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C5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https://tr.oliveoiltimes.com/business/italy-launches-land-generation-initiative-to-foster-generational-change-in-farming/115720 </w:t>
      </w:r>
    </w:p>
    <w:p w14:paraId="000000C6" w14:textId="77777777" w:rsidR="005B2107" w:rsidRDefault="00000000">
      <w:pPr>
        <w:shd w:val="clear" w:color="auto" w:fill="FFFFFF"/>
        <w:spacing w:before="240" w:after="240" w:line="360" w:lineRule="auto"/>
        <w:ind w:right="-20"/>
        <w:jc w:val="both"/>
      </w:pP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https://www.fao.org/3/au866e/au866e.pdf</w:t>
        </w:r>
      </w:hyperlink>
      <w:r>
        <w:t xml:space="preserve"> </w:t>
      </w:r>
    </w:p>
    <w:p w14:paraId="000000C7" w14:textId="77777777" w:rsidR="005B2107" w:rsidRDefault="00000000">
      <w:pPr>
        <w:shd w:val="clear" w:color="auto" w:fill="FFFFFF"/>
        <w:spacing w:after="16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https://www.wfp.org/</w:t>
        </w:r>
      </w:hyperlink>
    </w:p>
    <w:p w14:paraId="000000C8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Roboto" w:eastAsia="Roboto" w:hAnsi="Roboto" w:cs="Roboto"/>
          <w:sz w:val="21"/>
          <w:szCs w:val="21"/>
        </w:rPr>
      </w:pPr>
      <w:hyperlink r:id="rId17">
        <w:r>
          <w:rPr>
            <w:rFonts w:ascii="Roboto" w:eastAsia="Roboto" w:hAnsi="Roboto" w:cs="Roboto"/>
            <w:i/>
            <w:color w:val="0563C1"/>
            <w:sz w:val="21"/>
            <w:szCs w:val="21"/>
            <w:u w:val="single"/>
          </w:rPr>
          <w:t>https://www.fao.org/about/about-fao/en/</w:t>
        </w:r>
      </w:hyperlink>
      <w:r>
        <w:rPr>
          <w:rFonts w:ascii="Roboto" w:eastAsia="Roboto" w:hAnsi="Roboto" w:cs="Roboto"/>
          <w:sz w:val="21"/>
          <w:szCs w:val="21"/>
        </w:rPr>
        <w:t xml:space="preserve"> </w:t>
      </w:r>
    </w:p>
    <w:p w14:paraId="000000C9" w14:textId="77777777" w:rsidR="005B2107" w:rsidRDefault="00000000">
      <w:pPr>
        <w:shd w:val="clear" w:color="auto" w:fill="FFFFFF"/>
        <w:spacing w:after="160" w:line="360" w:lineRule="auto"/>
        <w:jc w:val="both"/>
        <w:rPr>
          <w:rFonts w:ascii="Roboto" w:eastAsia="Roboto" w:hAnsi="Roboto" w:cs="Roboto"/>
          <w:sz w:val="21"/>
          <w:szCs w:val="21"/>
        </w:rPr>
      </w:pPr>
      <w:hyperlink r:id="rId18">
        <w:r>
          <w:rPr>
            <w:rFonts w:ascii="Roboto" w:eastAsia="Roboto" w:hAnsi="Roboto" w:cs="Roboto"/>
            <w:i/>
            <w:color w:val="0563C1"/>
            <w:sz w:val="21"/>
            <w:szCs w:val="21"/>
            <w:u w:val="single"/>
          </w:rPr>
          <w:t>https://www.fao.org/news/countries-good-practices</w:t>
        </w:r>
      </w:hyperlink>
      <w:r>
        <w:rPr>
          <w:rFonts w:ascii="Roboto" w:eastAsia="Roboto" w:hAnsi="Roboto" w:cs="Roboto"/>
          <w:i/>
          <w:sz w:val="21"/>
          <w:szCs w:val="21"/>
        </w:rPr>
        <w:t xml:space="preserve"> </w:t>
      </w:r>
      <w:r>
        <w:rPr>
          <w:rFonts w:ascii="Roboto" w:eastAsia="Roboto" w:hAnsi="Roboto" w:cs="Roboto"/>
          <w:sz w:val="21"/>
          <w:szCs w:val="21"/>
        </w:rPr>
        <w:t xml:space="preserve"> </w:t>
      </w:r>
    </w:p>
    <w:p w14:paraId="000000CA" w14:textId="77777777" w:rsidR="005B2107" w:rsidRDefault="005B2107">
      <w:pPr>
        <w:shd w:val="clear" w:color="auto" w:fill="FFFFFF"/>
        <w:spacing w:after="160" w:line="360" w:lineRule="auto"/>
        <w:jc w:val="both"/>
      </w:pPr>
    </w:p>
    <w:p w14:paraId="000000CB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CC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14:paraId="000000CD" w14:textId="77777777" w:rsidR="005B2107" w:rsidRDefault="005B2107">
      <w:pPr>
        <w:spacing w:before="240" w:after="240" w:line="36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sectPr w:rsidR="005B210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40864"/>
    <w:multiLevelType w:val="multilevel"/>
    <w:tmpl w:val="06763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6938A8"/>
    <w:multiLevelType w:val="multilevel"/>
    <w:tmpl w:val="74FEAA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68659086">
    <w:abstractNumId w:val="1"/>
  </w:num>
  <w:num w:numId="2" w16cid:durableId="65360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07"/>
    <w:rsid w:val="000D7842"/>
    <w:rsid w:val="005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1DD5"/>
  <w15:docId w15:val="{1FCFFA35-453D-493A-84E8-DAC97CD1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ph-journal.org/journals/international-journal-of-public-health/articles/10.3389/ijph.2023.1605956/full" TargetMode="External"/><Relationship Id="rId13" Type="http://schemas.openxmlformats.org/officeDocument/2006/relationships/hyperlink" Target="https://link.springer.com/article/10.1007/s41055-023-00126-6" TargetMode="External"/><Relationship Id="rId18" Type="http://schemas.openxmlformats.org/officeDocument/2006/relationships/hyperlink" Target="https://www.fao.org/news/countries-good-prac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research-topics/60516/towards-sustainable-development-goal-of-zero-hunger-exploring-the-dynamic-relationships-between-food-pricing-agriculture-and-food-security" TargetMode="External"/><Relationship Id="rId12" Type="http://schemas.openxmlformats.org/officeDocument/2006/relationships/hyperlink" Target="https://www.frontiersin.org/research-topics/60516/towards-sustainable-development-goal-of-zero-hunger-exploring-the-dynamic-relationships-between-food-pricing-agriculture-and-food-security" TargetMode="External"/><Relationship Id="rId17" Type="http://schemas.openxmlformats.org/officeDocument/2006/relationships/hyperlink" Target="https://www.fao.org/about/about-fao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fp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hapter/10.1007/978-3-030-59687-3_5" TargetMode="External"/><Relationship Id="rId11" Type="http://schemas.openxmlformats.org/officeDocument/2006/relationships/hyperlink" Target="https://creativecommons.org/licenses/by-nc-sa/3.0/igo/legalcode/legalcode%29" TargetMode="External"/><Relationship Id="rId5" Type="http://schemas.openxmlformats.org/officeDocument/2006/relationships/hyperlink" Target="http://www.networkideas.org/themes/agriculture/may2002/ag17_US_Farm_Bill_2002" TargetMode="External"/><Relationship Id="rId15" Type="http://schemas.openxmlformats.org/officeDocument/2006/relationships/hyperlink" Target="https://www.fao.org/3/au866e/au866e.pdf" TargetMode="External"/><Relationship Id="rId10" Type="http://schemas.openxmlformats.org/officeDocument/2006/relationships/hyperlink" Target="https://www.fao.org/3/ca9476en/ca9476e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1356-022-23635-z" TargetMode="External"/><Relationship Id="rId14" Type="http://schemas.openxmlformats.org/officeDocument/2006/relationships/hyperlink" Target="http://www.networkideas.org/themes/agriculture/may2002/ag17_US_Farm_Bill_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7096</Words>
  <Characters>40451</Characters>
  <Application>Microsoft Office Word</Application>
  <DocSecurity>0</DocSecurity>
  <Lines>337</Lines>
  <Paragraphs>94</Paragraphs>
  <ScaleCrop>false</ScaleCrop>
  <Company/>
  <LinksUpToDate>false</LinksUpToDate>
  <CharactersWithSpaces>47453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Gültekin Dikmen</cp:lastModifiedBy>
  <cp:revision>2</cp:revision>
  <dcterms:created xsi:type="dcterms:W3CDTF">2024-04-04T18:23:00Z</dcterms:created>
  <dcterms:modified xsi:type="dcterms:W3CDTF">2024-04-04T18:24:00Z</dcterms:modified>
</cp:coreProperties>
</file>